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F4C" w:rsidRDefault="00A10F4C" w:rsidP="00A10F4C">
      <w:pPr>
        <w:rPr>
          <w:lang w:val="en-CA"/>
        </w:rPr>
      </w:pPr>
    </w:p>
    <w:tbl>
      <w:tblPr>
        <w:tblW w:w="9000" w:type="dxa"/>
        <w:jc w:val="center"/>
        <w:tblCellSpacing w:w="0" w:type="dxa"/>
        <w:tblCellMar>
          <w:left w:w="0" w:type="dxa"/>
          <w:right w:w="0" w:type="dxa"/>
        </w:tblCellMar>
        <w:tblLook w:val="04A0" w:firstRow="1" w:lastRow="0" w:firstColumn="1" w:lastColumn="0" w:noHBand="0" w:noVBand="1"/>
      </w:tblPr>
      <w:tblGrid>
        <w:gridCol w:w="9095"/>
      </w:tblGrid>
      <w:tr w:rsidR="00A10F4C" w:rsidTr="00A10F4C">
        <w:trPr>
          <w:tblCellSpacing w:w="0" w:type="dxa"/>
          <w:jc w:val="center"/>
        </w:trPr>
        <w:tc>
          <w:tcPr>
            <w:tcW w:w="0" w:type="auto"/>
            <w:shd w:val="clear" w:color="auto" w:fill="FFFFFF"/>
            <w:vAlign w:val="center"/>
            <w:hideMark/>
          </w:tcPr>
          <w:tbl>
            <w:tblPr>
              <w:tblW w:w="9075" w:type="dxa"/>
              <w:jc w:val="center"/>
              <w:tblCellSpacing w:w="0" w:type="dxa"/>
              <w:tblCellMar>
                <w:left w:w="0" w:type="dxa"/>
                <w:right w:w="0" w:type="dxa"/>
              </w:tblCellMar>
              <w:tblLook w:val="04A0" w:firstRow="1" w:lastRow="0" w:firstColumn="1" w:lastColumn="0" w:noHBand="0" w:noVBand="1"/>
            </w:tblPr>
            <w:tblGrid>
              <w:gridCol w:w="9075"/>
            </w:tblGrid>
            <w:tr w:rsidR="00A10F4C">
              <w:trPr>
                <w:trHeight w:val="1798"/>
                <w:tblCellSpacing w:w="0" w:type="dxa"/>
                <w:jc w:val="center"/>
              </w:trPr>
              <w:tc>
                <w:tcPr>
                  <w:tcW w:w="9075" w:type="dxa"/>
                  <w:tcBorders>
                    <w:top w:val="single" w:sz="8" w:space="0" w:color="auto"/>
                    <w:left w:val="single" w:sz="8" w:space="0" w:color="auto"/>
                    <w:bottom w:val="single" w:sz="8" w:space="0" w:color="B7B7B7"/>
                    <w:right w:val="single" w:sz="8" w:space="0" w:color="auto"/>
                  </w:tcBorders>
                  <w:shd w:val="clear" w:color="auto" w:fill="98002E"/>
                  <w:tcMar>
                    <w:top w:w="450" w:type="dxa"/>
                    <w:left w:w="450" w:type="dxa"/>
                    <w:bottom w:w="450" w:type="dxa"/>
                    <w:right w:w="450" w:type="dxa"/>
                  </w:tcMar>
                  <w:hideMark/>
                </w:tcPr>
                <w:p w:rsidR="00A10F4C" w:rsidRDefault="00A10F4C">
                  <w:pPr>
                    <w:pStyle w:val="NoSpacing"/>
                  </w:pPr>
                  <w:r>
                    <w:rPr>
                      <w:rFonts w:ascii="Arial" w:hAnsi="Arial" w:cs="Arial"/>
                      <w:b/>
                      <w:bCs/>
                      <w:sz w:val="44"/>
                      <w:szCs w:val="44"/>
                    </w:rPr>
                    <w:t>Renaissance Investments</w:t>
                  </w:r>
                </w:p>
                <w:p w:rsidR="00A10F4C" w:rsidRDefault="00A10F4C">
                  <w:pPr>
                    <w:pStyle w:val="NoSpacing"/>
                  </w:pPr>
                  <w:r>
                    <w:rPr>
                      <w:rFonts w:ascii="Arial" w:hAnsi="Arial" w:cs="Arial"/>
                      <w:sz w:val="28"/>
                      <w:szCs w:val="28"/>
                    </w:rPr>
                    <w:t xml:space="preserve">Are pleased to invite you to an exclusive </w:t>
                  </w:r>
                  <w:r>
                    <w:rPr>
                      <w:rFonts w:ascii="Arial" w:hAnsi="Arial" w:cs="Arial"/>
                      <w:color w:val="FFFFFF"/>
                      <w:sz w:val="28"/>
                      <w:szCs w:val="28"/>
                    </w:rPr>
                    <w:t>event with</w:t>
                  </w:r>
                </w:p>
                <w:p w:rsidR="00A10F4C" w:rsidRDefault="00A10F4C">
                  <w:pPr>
                    <w:pStyle w:val="NoSpacing"/>
                    <w:rPr>
                      <w:color w:val="FFFFFF"/>
                    </w:rPr>
                  </w:pPr>
                  <w:r>
                    <w:rPr>
                      <w:rFonts w:ascii="Arial" w:hAnsi="Arial" w:cs="Arial"/>
                      <w:color w:val="FFFFFF"/>
                      <w:sz w:val="14"/>
                      <w:szCs w:val="14"/>
                    </w:rPr>
                    <w:t> </w:t>
                  </w:r>
                </w:p>
                <w:p w:rsidR="00A10F4C" w:rsidRDefault="00A10F4C">
                  <w:pPr>
                    <w:spacing w:line="450" w:lineRule="atLeast"/>
                    <w:rPr>
                      <w:color w:val="FFFFFF"/>
                    </w:rPr>
                  </w:pPr>
                  <w:r>
                    <w:rPr>
                      <w:rFonts w:ascii="Arial" w:hAnsi="Arial" w:cs="Arial"/>
                      <w:b/>
                      <w:bCs/>
                      <w:color w:val="FFFFFF"/>
                      <w:sz w:val="40"/>
                      <w:szCs w:val="40"/>
                    </w:rPr>
                    <w:t>Brand</w:t>
                  </w:r>
                  <w:r>
                    <w:rPr>
                      <w:rFonts w:ascii="Arial" w:hAnsi="Arial" w:cs="Arial"/>
                      <w:b/>
                      <w:bCs/>
                      <w:color w:val="FFFFFF" w:themeColor="background1"/>
                      <w:sz w:val="40"/>
                      <w:szCs w:val="40"/>
                    </w:rPr>
                    <w:t>ywin</w:t>
                  </w:r>
                  <w:r>
                    <w:rPr>
                      <w:rFonts w:ascii="Arial" w:hAnsi="Arial" w:cs="Arial"/>
                      <w:b/>
                      <w:bCs/>
                      <w:color w:val="FFFFFF"/>
                      <w:sz w:val="40"/>
                      <w:szCs w:val="40"/>
                    </w:rPr>
                    <w:t>e</w:t>
                  </w:r>
                </w:p>
                <w:p w:rsidR="00A10F4C" w:rsidRDefault="00A10F4C">
                  <w:pPr>
                    <w:pStyle w:val="NoSpacing"/>
                  </w:pPr>
                  <w:r>
                    <w:rPr>
                      <w:rFonts w:ascii="Arial" w:hAnsi="Arial" w:cs="Arial"/>
                      <w:color w:val="FFFFFF"/>
                      <w:sz w:val="24"/>
                      <w:szCs w:val="24"/>
                    </w:rPr>
                    <w:t>Sub advisor to the Renaissance Global Bond Fund</w:t>
                  </w:r>
                </w:p>
              </w:tc>
            </w:tr>
            <w:tr w:rsidR="00A10F4C">
              <w:trPr>
                <w:trHeight w:val="20"/>
                <w:tblCellSpacing w:w="0" w:type="dxa"/>
                <w:jc w:val="center"/>
              </w:trPr>
              <w:tc>
                <w:tcPr>
                  <w:tcW w:w="9075" w:type="dxa"/>
                  <w:tcBorders>
                    <w:top w:val="nil"/>
                    <w:left w:val="single" w:sz="8" w:space="0" w:color="auto"/>
                    <w:bottom w:val="nil"/>
                    <w:right w:val="single" w:sz="8" w:space="0" w:color="auto"/>
                  </w:tcBorders>
                  <w:tcMar>
                    <w:top w:w="450" w:type="dxa"/>
                    <w:left w:w="450" w:type="dxa"/>
                    <w:bottom w:w="0" w:type="dxa"/>
                    <w:right w:w="450" w:type="dxa"/>
                  </w:tcMar>
                  <w:hideMark/>
                </w:tcPr>
                <w:p w:rsidR="00A10F4C" w:rsidRDefault="00A10F4C">
                  <w:pPr>
                    <w:rPr>
                      <w:rFonts w:ascii="Times New Roman" w:eastAsia="Times New Roman" w:hAnsi="Times New Roman" w:cs="Times New Roman"/>
                      <w:sz w:val="20"/>
                      <w:szCs w:val="20"/>
                    </w:rPr>
                  </w:pPr>
                </w:p>
              </w:tc>
            </w:tr>
            <w:tr w:rsidR="00A10F4C">
              <w:trPr>
                <w:trHeight w:val="30"/>
                <w:tblCellSpacing w:w="0" w:type="dxa"/>
                <w:jc w:val="center"/>
              </w:trPr>
              <w:tc>
                <w:tcPr>
                  <w:tcW w:w="9075" w:type="dxa"/>
                  <w:tcBorders>
                    <w:top w:val="nil"/>
                    <w:left w:val="single" w:sz="8" w:space="0" w:color="auto"/>
                    <w:bottom w:val="nil"/>
                    <w:right w:val="single" w:sz="8" w:space="0" w:color="auto"/>
                  </w:tcBorders>
                  <w:tcMar>
                    <w:top w:w="150" w:type="dxa"/>
                    <w:left w:w="0" w:type="dxa"/>
                    <w:bottom w:w="0" w:type="dxa"/>
                    <w:right w:w="0" w:type="dxa"/>
                  </w:tcMar>
                  <w:hideMark/>
                </w:tcPr>
                <w:p w:rsidR="00A10F4C" w:rsidRDefault="00A10F4C">
                  <w:pPr>
                    <w:rPr>
                      <w:rFonts w:ascii="Times New Roman" w:eastAsia="Times New Roman" w:hAnsi="Times New Roman" w:cs="Times New Roman"/>
                      <w:sz w:val="20"/>
                      <w:szCs w:val="20"/>
                    </w:rPr>
                  </w:pPr>
                </w:p>
              </w:tc>
            </w:tr>
            <w:tr w:rsidR="00A10F4C">
              <w:trPr>
                <w:tblCellSpacing w:w="0" w:type="dxa"/>
                <w:jc w:val="center"/>
              </w:trPr>
              <w:tc>
                <w:tcPr>
                  <w:tcW w:w="9075" w:type="dxa"/>
                  <w:tcBorders>
                    <w:top w:val="nil"/>
                    <w:left w:val="single" w:sz="8" w:space="0" w:color="auto"/>
                    <w:bottom w:val="nil"/>
                    <w:right w:val="single" w:sz="8" w:space="0" w:color="auto"/>
                  </w:tcBorders>
                  <w:tcMar>
                    <w:top w:w="0" w:type="dxa"/>
                    <w:left w:w="450" w:type="dxa"/>
                    <w:bottom w:w="30" w:type="dxa"/>
                    <w:right w:w="450" w:type="dxa"/>
                  </w:tcMar>
                </w:tcPr>
                <w:p w:rsidR="00A10F4C" w:rsidRDefault="00A10F4C">
                  <w:pPr>
                    <w:spacing w:line="300" w:lineRule="atLeast"/>
                    <w:jc w:val="center"/>
                    <w:rPr>
                      <w:rFonts w:ascii="Arial" w:hAnsi="Arial" w:cs="Arial"/>
                      <w:color w:val="1F497D"/>
                      <w:sz w:val="27"/>
                      <w:szCs w:val="27"/>
                    </w:rPr>
                  </w:pPr>
                  <w:r>
                    <w:rPr>
                      <w:rFonts w:ascii="Arial" w:hAnsi="Arial" w:cs="Arial"/>
                      <w:sz w:val="27"/>
                      <w:szCs w:val="27"/>
                    </w:rPr>
                    <w:t xml:space="preserve">**Please note space is strictly limited. </w:t>
                  </w:r>
                </w:p>
                <w:p w:rsidR="00A10F4C" w:rsidRPr="00A10F4C" w:rsidRDefault="00A10F4C" w:rsidP="00A10F4C">
                  <w:pPr>
                    <w:spacing w:line="300" w:lineRule="atLeast"/>
                    <w:jc w:val="center"/>
                    <w:rPr>
                      <w:rFonts w:ascii="Arial" w:hAnsi="Arial" w:cs="Arial"/>
                      <w:sz w:val="27"/>
                      <w:szCs w:val="27"/>
                    </w:rPr>
                  </w:pPr>
                  <w:r>
                    <w:rPr>
                      <w:rFonts w:ascii="Arial" w:hAnsi="Arial" w:cs="Arial"/>
                      <w:sz w:val="27"/>
                      <w:szCs w:val="27"/>
                    </w:rPr>
                    <w:t>RSVP at your earliest convenience to secure your spot**</w:t>
                  </w:r>
                </w:p>
                <w:p w:rsidR="00A10F4C" w:rsidRPr="00A10F4C" w:rsidRDefault="00A10F4C" w:rsidP="00A10F4C">
                  <w:pPr>
                    <w:spacing w:line="300" w:lineRule="atLeast"/>
                    <w:jc w:val="center"/>
                    <w:rPr>
                      <w:rFonts w:ascii="Arial" w:hAnsi="Arial" w:cs="Arial"/>
                      <w:color w:val="98002E"/>
                      <w:sz w:val="27"/>
                      <w:szCs w:val="27"/>
                    </w:rPr>
                  </w:pPr>
                  <w:r>
                    <w:rPr>
                      <w:rFonts w:ascii="Arial" w:hAnsi="Arial" w:cs="Arial"/>
                      <w:color w:val="98002E"/>
                      <w:sz w:val="27"/>
                      <w:szCs w:val="27"/>
                    </w:rPr>
                    <w:t>Event Details:</w:t>
                  </w:r>
                </w:p>
              </w:tc>
            </w:tr>
            <w:tr w:rsidR="00A10F4C">
              <w:trPr>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hideMark/>
                </w:tcPr>
                <w:p w:rsidR="00A10F4C" w:rsidRDefault="00A10F4C" w:rsidP="001A5F34">
                  <w:pPr>
                    <w:spacing w:line="300" w:lineRule="atLeast"/>
                    <w:jc w:val="center"/>
                    <w:rPr>
                      <w:rFonts w:ascii="Arial" w:hAnsi="Arial" w:cs="Arial"/>
                      <w:b/>
                      <w:bCs/>
                      <w:color w:val="98002E"/>
                      <w:sz w:val="24"/>
                      <w:szCs w:val="24"/>
                    </w:rPr>
                  </w:pPr>
                  <w:r>
                    <w:rPr>
                      <w:rFonts w:ascii="Arial" w:hAnsi="Arial" w:cs="Arial"/>
                      <w:b/>
                      <w:bCs/>
                      <w:color w:val="98002E"/>
                      <w:sz w:val="24"/>
                      <w:szCs w:val="24"/>
                    </w:rPr>
                    <w:t xml:space="preserve">Tuesday, 26 </w:t>
                  </w:r>
                  <w:r w:rsidR="001A5F34">
                    <w:rPr>
                      <w:rFonts w:ascii="Arial" w:hAnsi="Arial" w:cs="Arial"/>
                      <w:b/>
                      <w:bCs/>
                      <w:color w:val="98002E"/>
                      <w:sz w:val="24"/>
                      <w:szCs w:val="24"/>
                    </w:rPr>
                    <w:t>June</w:t>
                  </w:r>
                  <w:bookmarkStart w:id="0" w:name="_GoBack"/>
                  <w:bookmarkEnd w:id="0"/>
                  <w:r>
                    <w:rPr>
                      <w:rFonts w:ascii="Arial" w:hAnsi="Arial" w:cs="Arial"/>
                      <w:b/>
                      <w:bCs/>
                      <w:color w:val="98002E"/>
                      <w:sz w:val="24"/>
                      <w:szCs w:val="24"/>
                    </w:rPr>
                    <w:t xml:space="preserve"> 2018</w:t>
                  </w:r>
                </w:p>
              </w:tc>
            </w:tr>
            <w:tr w:rsidR="00A10F4C">
              <w:trPr>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hideMark/>
                </w:tcPr>
                <w:p w:rsidR="00A10F4C" w:rsidRDefault="00A10F4C">
                  <w:pPr>
                    <w:spacing w:line="300" w:lineRule="atLeast"/>
                    <w:jc w:val="center"/>
                    <w:rPr>
                      <w:rFonts w:ascii="Calibri" w:hAnsi="Calibri" w:cs="Calibri"/>
                      <w:b/>
                      <w:bCs/>
                    </w:rPr>
                  </w:pPr>
                  <w:r>
                    <w:rPr>
                      <w:rFonts w:ascii="Arial" w:hAnsi="Arial" w:cs="Arial"/>
                      <w:b/>
                      <w:bCs/>
                      <w:sz w:val="24"/>
                      <w:szCs w:val="24"/>
                    </w:rPr>
                    <w:t>Mississauga</w:t>
                  </w:r>
                </w:p>
              </w:tc>
            </w:tr>
            <w:tr w:rsidR="00A10F4C">
              <w:trPr>
                <w:trHeight w:val="1107"/>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tcPr>
                <w:p w:rsidR="00A10F4C" w:rsidRDefault="00A10F4C">
                  <w:pPr>
                    <w:spacing w:line="300" w:lineRule="atLeast"/>
                    <w:jc w:val="center"/>
                    <w:rPr>
                      <w:rFonts w:ascii="Arial" w:hAnsi="Arial" w:cs="Arial"/>
                      <w:i/>
                      <w:iCs/>
                      <w:sz w:val="24"/>
                      <w:szCs w:val="24"/>
                      <w:u w:val="single"/>
                    </w:rPr>
                  </w:pPr>
                  <w:r>
                    <w:rPr>
                      <w:rFonts w:ascii="Arial" w:hAnsi="Arial" w:cs="Arial"/>
                      <w:i/>
                      <w:iCs/>
                      <w:sz w:val="24"/>
                      <w:szCs w:val="24"/>
                      <w:u w:val="single"/>
                    </w:rPr>
                    <w:t>Luncheon</w:t>
                  </w:r>
                </w:p>
                <w:p w:rsidR="00A10F4C" w:rsidRDefault="00A10F4C" w:rsidP="00A10F4C">
                  <w:pPr>
                    <w:spacing w:line="300" w:lineRule="atLeast"/>
                    <w:jc w:val="center"/>
                    <w:rPr>
                      <w:rFonts w:ascii="Arial" w:hAnsi="Arial" w:cs="Arial"/>
                      <w:sz w:val="24"/>
                      <w:szCs w:val="24"/>
                    </w:rPr>
                  </w:pPr>
                  <w:proofErr w:type="spellStart"/>
                  <w:r>
                    <w:rPr>
                      <w:rFonts w:ascii="Arial" w:hAnsi="Arial" w:cs="Arial"/>
                      <w:sz w:val="24"/>
                      <w:szCs w:val="24"/>
                    </w:rPr>
                    <w:t>12:00PM</w:t>
                  </w:r>
                  <w:proofErr w:type="spellEnd"/>
                  <w:r>
                    <w:rPr>
                      <w:rFonts w:ascii="Arial" w:hAnsi="Arial" w:cs="Arial"/>
                      <w:sz w:val="24"/>
                      <w:szCs w:val="24"/>
                    </w:rPr>
                    <w:t xml:space="preserve"> – </w:t>
                  </w:r>
                  <w:proofErr w:type="spellStart"/>
                  <w:r>
                    <w:rPr>
                      <w:rFonts w:ascii="Arial" w:hAnsi="Arial" w:cs="Arial"/>
                      <w:sz w:val="24"/>
                      <w:szCs w:val="24"/>
                    </w:rPr>
                    <w:t>1;30PM</w:t>
                  </w:r>
                  <w:proofErr w:type="spellEnd"/>
                </w:p>
                <w:p w:rsidR="00A10F4C" w:rsidRDefault="00A10F4C">
                  <w:pPr>
                    <w:spacing w:line="300" w:lineRule="atLeast"/>
                    <w:jc w:val="center"/>
                    <w:rPr>
                      <w:rFonts w:ascii="Arial" w:hAnsi="Arial" w:cs="Arial"/>
                      <w:b/>
                      <w:bCs/>
                      <w:sz w:val="24"/>
                      <w:szCs w:val="24"/>
                    </w:rPr>
                  </w:pPr>
                  <w:proofErr w:type="spellStart"/>
                  <w:r>
                    <w:rPr>
                      <w:rFonts w:ascii="Arial" w:hAnsi="Arial" w:cs="Arial"/>
                      <w:b/>
                      <w:bCs/>
                      <w:sz w:val="24"/>
                      <w:szCs w:val="24"/>
                    </w:rPr>
                    <w:t>Culinaria</w:t>
                  </w:r>
                  <w:proofErr w:type="spellEnd"/>
                  <w:r>
                    <w:rPr>
                      <w:rFonts w:ascii="Arial" w:hAnsi="Arial" w:cs="Arial"/>
                      <w:b/>
                      <w:bCs/>
                      <w:sz w:val="24"/>
                      <w:szCs w:val="24"/>
                    </w:rPr>
                    <w:t xml:space="preserve"> Restaurant</w:t>
                  </w:r>
                </w:p>
                <w:p w:rsidR="00A10F4C" w:rsidRDefault="00A10F4C">
                  <w:pPr>
                    <w:spacing w:line="300" w:lineRule="atLeast"/>
                    <w:jc w:val="center"/>
                    <w:rPr>
                      <w:rFonts w:ascii="Arial" w:hAnsi="Arial" w:cs="Arial"/>
                      <w:sz w:val="24"/>
                      <w:szCs w:val="24"/>
                    </w:rPr>
                  </w:pPr>
                  <w:r>
                    <w:rPr>
                      <w:rFonts w:ascii="Arial" w:hAnsi="Arial" w:cs="Arial"/>
                      <w:sz w:val="24"/>
                      <w:szCs w:val="24"/>
                    </w:rPr>
                    <w:t>5732 Kennedy Road</w:t>
                  </w:r>
                </w:p>
                <w:p w:rsidR="00A10F4C" w:rsidRDefault="00A10F4C">
                  <w:pPr>
                    <w:spacing w:line="300" w:lineRule="atLeast"/>
                    <w:jc w:val="center"/>
                  </w:pPr>
                  <w:proofErr w:type="spellStart"/>
                  <w:r>
                    <w:t>Mississauaga</w:t>
                  </w:r>
                  <w:proofErr w:type="spellEnd"/>
                  <w:r>
                    <w:t xml:space="preserve">, ON </w:t>
                  </w:r>
                  <w:proofErr w:type="spellStart"/>
                  <w:r>
                    <w:t>L4Z</w:t>
                  </w:r>
                  <w:proofErr w:type="spellEnd"/>
                  <w:r>
                    <w:t xml:space="preserve"> </w:t>
                  </w:r>
                  <w:proofErr w:type="spellStart"/>
                  <w:r>
                    <w:t>1T1</w:t>
                  </w:r>
                  <w:proofErr w:type="spellEnd"/>
                </w:p>
              </w:tc>
            </w:tr>
            <w:tr w:rsidR="00A10F4C">
              <w:trPr>
                <w:tblCellSpacing w:w="0" w:type="dxa"/>
                <w:jc w:val="center"/>
              </w:trPr>
              <w:tc>
                <w:tcPr>
                  <w:tcW w:w="9075" w:type="dxa"/>
                  <w:tcBorders>
                    <w:top w:val="nil"/>
                    <w:left w:val="single" w:sz="8" w:space="0" w:color="auto"/>
                    <w:bottom w:val="nil"/>
                    <w:right w:val="single" w:sz="8" w:space="0" w:color="auto"/>
                  </w:tcBorders>
                  <w:tcMar>
                    <w:top w:w="150" w:type="dxa"/>
                    <w:left w:w="450" w:type="dxa"/>
                    <w:bottom w:w="0" w:type="dxa"/>
                    <w:right w:w="0" w:type="dxa"/>
                  </w:tcMar>
                  <w:hideMark/>
                </w:tcPr>
                <w:p w:rsidR="00A10F4C" w:rsidRDefault="00A10F4C">
                  <w:pPr>
                    <w:spacing w:line="300" w:lineRule="atLeast"/>
                    <w:rPr>
                      <w:rFonts w:ascii="Calibri" w:hAnsi="Calibri" w:cs="Calibri"/>
                      <w:color w:val="98002E"/>
                    </w:rPr>
                  </w:pPr>
                  <w:r>
                    <w:rPr>
                      <w:rFonts w:ascii="Arial" w:hAnsi="Arial" w:cs="Arial"/>
                      <w:color w:val="98002E"/>
                      <w:sz w:val="27"/>
                      <w:szCs w:val="27"/>
                    </w:rPr>
                    <w:t xml:space="preserve">Speaker: </w:t>
                  </w:r>
                </w:p>
              </w:tc>
            </w:tr>
            <w:tr w:rsidR="00A10F4C">
              <w:trPr>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tcPr>
                <w:p w:rsidR="00A10F4C" w:rsidRDefault="00A10F4C">
                  <w:pPr>
                    <w:spacing w:line="300" w:lineRule="atLeast"/>
                    <w:rPr>
                      <w:rFonts w:ascii="Arial" w:hAnsi="Arial" w:cs="Arial"/>
                      <w:sz w:val="21"/>
                      <w:szCs w:val="21"/>
                    </w:rPr>
                  </w:pPr>
                  <w:r>
                    <w:rPr>
                      <w:rFonts w:ascii="Arial" w:hAnsi="Arial" w:cs="Arial"/>
                      <w:color w:val="404040"/>
                      <w:sz w:val="21"/>
                      <w:szCs w:val="21"/>
                    </w:rPr>
                    <w:t>Brian Giuliano, CFA</w:t>
                  </w:r>
                  <w:r>
                    <w:rPr>
                      <w:rFonts w:ascii="Arial" w:hAnsi="Arial" w:cs="Arial"/>
                      <w:color w:val="404040"/>
                      <w:sz w:val="21"/>
                      <w:szCs w:val="21"/>
                    </w:rPr>
                    <w:br/>
                    <w:t>Vice President, Portfolio Management</w:t>
                  </w:r>
                  <w:r>
                    <w:rPr>
                      <w:rFonts w:ascii="Arial" w:hAnsi="Arial" w:cs="Arial"/>
                      <w:color w:val="404040"/>
                      <w:sz w:val="21"/>
                      <w:szCs w:val="21"/>
                    </w:rPr>
                    <w:br/>
                    <w:t>Brandywine Global Investment Management</w:t>
                  </w:r>
                </w:p>
                <w:p w:rsidR="00A10F4C" w:rsidRDefault="00A10F4C">
                  <w:pPr>
                    <w:spacing w:line="300" w:lineRule="atLeast"/>
                    <w:rPr>
                      <w:rFonts w:ascii="Calibri" w:hAnsi="Calibri" w:cs="Calibri"/>
                      <w:color w:val="1F497D"/>
                    </w:rPr>
                  </w:pPr>
                </w:p>
              </w:tc>
            </w:tr>
            <w:tr w:rsidR="00A10F4C">
              <w:trPr>
                <w:trHeight w:val="999"/>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tcPr>
                <w:p w:rsidR="00A10F4C" w:rsidRDefault="00A10F4C">
                  <w:pPr>
                    <w:spacing w:line="300" w:lineRule="atLeast"/>
                    <w:rPr>
                      <w:rFonts w:ascii="Calibri" w:hAnsi="Calibri" w:cs="Calibri"/>
                      <w:color w:val="98002E"/>
                    </w:rPr>
                  </w:pPr>
                  <w:r>
                    <w:rPr>
                      <w:rFonts w:ascii="Arial" w:hAnsi="Arial" w:cs="Arial"/>
                      <w:color w:val="98002E"/>
                      <w:sz w:val="27"/>
                      <w:szCs w:val="27"/>
                    </w:rPr>
                    <w:t>About Brandywine:</w:t>
                  </w:r>
                </w:p>
                <w:p w:rsidR="00A10F4C" w:rsidRPr="00A10F4C" w:rsidRDefault="00A10F4C">
                  <w:pPr>
                    <w:rPr>
                      <w:rFonts w:ascii="Arial" w:hAnsi="Arial" w:cs="Arial"/>
                      <w:i/>
                      <w:iCs/>
                      <w:color w:val="1F497D"/>
                    </w:rPr>
                  </w:pPr>
                  <w:r>
                    <w:rPr>
                      <w:rFonts w:ascii="Arial" w:hAnsi="Arial" w:cs="Arial"/>
                      <w:i/>
                      <w:iCs/>
                      <w:color w:val="404040"/>
                    </w:rPr>
                    <w:t>Incorporated in 1986 and based out of Philadelphia, Brandywine Global has a proven track record of successful money management in the global markets for over 30 years, and manages over $57 billion in fixed income assets.</w:t>
                  </w:r>
                </w:p>
                <w:p w:rsidR="00A10F4C" w:rsidRDefault="00A10F4C">
                  <w:pPr>
                    <w:rPr>
                      <w:rFonts w:ascii="Arial" w:hAnsi="Arial" w:cs="Arial"/>
                      <w:i/>
                      <w:iCs/>
                      <w:color w:val="404040"/>
                    </w:rPr>
                  </w:pPr>
                  <w:r>
                    <w:rPr>
                      <w:rFonts w:ascii="Arial" w:hAnsi="Arial" w:cs="Arial"/>
                      <w:i/>
                      <w:iCs/>
                      <w:color w:val="404040"/>
                    </w:rPr>
                    <w:t>Their Renaissance Global Bond mandate boasts:</w:t>
                  </w:r>
                </w:p>
                <w:p w:rsidR="00A10F4C" w:rsidRDefault="00A10F4C" w:rsidP="00A10F4C">
                  <w:pPr>
                    <w:numPr>
                      <w:ilvl w:val="0"/>
                      <w:numId w:val="1"/>
                    </w:numPr>
                    <w:spacing w:after="0" w:line="240" w:lineRule="auto"/>
                    <w:rPr>
                      <w:rFonts w:ascii="Arial" w:hAnsi="Arial" w:cs="Arial"/>
                      <w:i/>
                      <w:iCs/>
                      <w:color w:val="404040"/>
                    </w:rPr>
                  </w:pPr>
                  <w:r>
                    <w:rPr>
                      <w:rFonts w:ascii="Arial" w:hAnsi="Arial" w:cs="Arial"/>
                      <w:i/>
                      <w:iCs/>
                      <w:color w:val="404040"/>
                    </w:rPr>
                    <w:t>5 Star Morningstar rating, and is in the top 1% of Global Fixed Income mandates over 10 years</w:t>
                  </w:r>
                </w:p>
                <w:p w:rsidR="00A10F4C" w:rsidRDefault="00A10F4C" w:rsidP="00A10F4C">
                  <w:pPr>
                    <w:numPr>
                      <w:ilvl w:val="0"/>
                      <w:numId w:val="1"/>
                    </w:numPr>
                    <w:spacing w:after="0" w:line="240" w:lineRule="auto"/>
                    <w:rPr>
                      <w:rFonts w:ascii="Arial" w:hAnsi="Arial" w:cs="Arial"/>
                      <w:i/>
                      <w:iCs/>
                      <w:color w:val="404040"/>
                    </w:rPr>
                  </w:pPr>
                  <w:r>
                    <w:rPr>
                      <w:rFonts w:ascii="Arial" w:hAnsi="Arial" w:cs="Arial"/>
                      <w:i/>
                      <w:iCs/>
                      <w:color w:val="404040"/>
                    </w:rPr>
                    <w:t xml:space="preserve">Diversification benefits by investing in both emerging market and developed market global bonds </w:t>
                  </w:r>
                </w:p>
                <w:p w:rsidR="00A10F4C" w:rsidRDefault="00A10F4C">
                  <w:pPr>
                    <w:spacing w:line="300" w:lineRule="atLeast"/>
                    <w:rPr>
                      <w:rFonts w:ascii="Arial" w:hAnsi="Arial" w:cs="Arial"/>
                      <w:i/>
                      <w:iCs/>
                      <w:color w:val="404040"/>
                    </w:rPr>
                  </w:pPr>
                  <w:r>
                    <w:rPr>
                      <w:rFonts w:ascii="Arial" w:hAnsi="Arial" w:cs="Arial"/>
                      <w:i/>
                      <w:iCs/>
                      <w:color w:val="404040"/>
                    </w:rPr>
                    <w:t xml:space="preserve">Top quartile performing fund for 2017 in the Global Fixed Income Category, and top </w:t>
                  </w:r>
                  <w:r>
                    <w:rPr>
                      <w:rFonts w:ascii="Arial" w:hAnsi="Arial" w:cs="Arial"/>
                      <w:i/>
                      <w:iCs/>
                      <w:color w:val="404040"/>
                    </w:rPr>
                    <w:lastRenderedPageBreak/>
                    <w:t>10 percentile for 1,5, and 10 year trailing returns.</w:t>
                  </w:r>
                </w:p>
                <w:p w:rsidR="00A10F4C" w:rsidRDefault="00A10F4C">
                  <w:pPr>
                    <w:spacing w:line="300" w:lineRule="atLeast"/>
                    <w:rPr>
                      <w:rFonts w:ascii="Calibri" w:hAnsi="Calibri" w:cs="Calibri"/>
                    </w:rPr>
                  </w:pPr>
                  <w:r>
                    <w:rPr>
                      <w:rFonts w:ascii="Arial" w:hAnsi="Arial" w:cs="Arial"/>
                      <w:color w:val="595959"/>
                    </w:rPr>
                    <w:t> </w:t>
                  </w:r>
                </w:p>
              </w:tc>
            </w:tr>
            <w:tr w:rsidR="00A10F4C" w:rsidTr="00A10F4C">
              <w:trPr>
                <w:trHeight w:val="367"/>
                <w:tblCellSpacing w:w="0" w:type="dxa"/>
                <w:jc w:val="center"/>
              </w:trPr>
              <w:tc>
                <w:tcPr>
                  <w:tcW w:w="9075" w:type="dxa"/>
                  <w:tcBorders>
                    <w:top w:val="nil"/>
                    <w:left w:val="single" w:sz="8" w:space="0" w:color="auto"/>
                    <w:bottom w:val="nil"/>
                    <w:right w:val="single" w:sz="8" w:space="0" w:color="auto"/>
                  </w:tcBorders>
                  <w:tcMar>
                    <w:top w:w="0" w:type="dxa"/>
                    <w:left w:w="450" w:type="dxa"/>
                    <w:bottom w:w="0" w:type="dxa"/>
                    <w:right w:w="450" w:type="dxa"/>
                  </w:tcMar>
                </w:tcPr>
                <w:p w:rsidR="00A10F4C" w:rsidRDefault="00A10F4C">
                  <w:pPr>
                    <w:jc w:val="center"/>
                    <w:rPr>
                      <w:rFonts w:ascii="Arial" w:hAnsi="Arial" w:cs="Arial"/>
                      <w:color w:val="98002E"/>
                      <w:sz w:val="28"/>
                      <w:szCs w:val="28"/>
                    </w:rPr>
                  </w:pPr>
                  <w:r>
                    <w:rPr>
                      <w:rFonts w:ascii="Arial" w:hAnsi="Arial" w:cs="Arial"/>
                      <w:color w:val="98002E"/>
                      <w:sz w:val="28"/>
                      <w:szCs w:val="28"/>
                    </w:rPr>
                    <w:lastRenderedPageBreak/>
                    <w:t>Please RSVP at your earliest convenience</w:t>
                  </w:r>
                </w:p>
                <w:p w:rsidR="00A10F4C" w:rsidRDefault="00A10F4C" w:rsidP="00A10F4C">
                  <w:pPr>
                    <w:jc w:val="center"/>
                    <w:rPr>
                      <w:rFonts w:ascii="Arial" w:hAnsi="Arial" w:cs="Arial"/>
                      <w:color w:val="98002E"/>
                      <w:sz w:val="28"/>
                      <w:szCs w:val="28"/>
                    </w:rPr>
                  </w:pPr>
                </w:p>
              </w:tc>
            </w:tr>
          </w:tbl>
          <w:p w:rsidR="00A10F4C" w:rsidRDefault="00A10F4C">
            <w:pPr>
              <w:jc w:val="center"/>
              <w:rPr>
                <w:rFonts w:ascii="Times New Roman" w:eastAsia="Times New Roman" w:hAnsi="Times New Roman" w:cs="Times New Roman"/>
                <w:sz w:val="20"/>
                <w:szCs w:val="20"/>
              </w:rPr>
            </w:pPr>
          </w:p>
        </w:tc>
      </w:tr>
    </w:tbl>
    <w:p w:rsidR="00A10F4C" w:rsidRDefault="00A10F4C" w:rsidP="00A10F4C">
      <w:pPr>
        <w:rPr>
          <w:rFonts w:ascii="Calibri" w:hAnsi="Calibri" w:cs="Calibri"/>
          <w:lang w:val="en-CA"/>
        </w:rPr>
      </w:pPr>
      <w:r>
        <w:rPr>
          <w:rFonts w:ascii="Times New Roman" w:hAnsi="Times New Roman" w:cs="Times New Roman"/>
          <w:sz w:val="24"/>
          <w:szCs w:val="24"/>
        </w:rPr>
        <w:lastRenderedPageBreak/>
        <w:t> </w:t>
      </w:r>
    </w:p>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A10F4C" w:rsidTr="00A10F4C">
        <w:trPr>
          <w:tblCellSpacing w:w="0" w:type="dxa"/>
          <w:jc w:val="center"/>
        </w:trPr>
        <w:tc>
          <w:tcPr>
            <w:tcW w:w="0" w:type="auto"/>
            <w:tcMar>
              <w:top w:w="0" w:type="dxa"/>
              <w:left w:w="450" w:type="dxa"/>
              <w:bottom w:w="75" w:type="dxa"/>
              <w:right w:w="450" w:type="dxa"/>
            </w:tcMar>
            <w:vAlign w:val="center"/>
            <w:hideMark/>
          </w:tcPr>
          <w:p w:rsidR="00A10F4C" w:rsidRDefault="00A10F4C">
            <w:pPr>
              <w:rPr>
                <w:rFonts w:ascii="Calibri" w:hAnsi="Calibri" w:cs="Calibri"/>
              </w:rPr>
            </w:pPr>
            <w:r>
              <w:rPr>
                <w:rFonts w:ascii="Arial" w:hAnsi="Arial" w:cs="Arial"/>
                <w:color w:val="444749"/>
                <w:sz w:val="17"/>
                <w:szCs w:val="17"/>
              </w:rPr>
              <w:t xml:space="preserve">This material was prepared for investment professionals only and is not for public distribution. It is for informational purposes only and is not intended to convey financial, investment, legal, tax or accounting advice. Renaissance Investments and Renaissance Private Investment Program are offered by CIBC Asset Management Inc. Commissions, trailing commissions, management fees and expenses all may be associated with mutual fund investments. Please read the simplified prospectus before investing. To obtain a copy of the Renaissance Private Pools simplified prospectus, call 1-888-888-FUND (3863). Mutual funds are not guaranteed, their values change frequently and past performance may not be repeated. Distributions are not guaranteed and may fluctuate and should not be confused with a fund’s performance, rate of return, or yield. Distributions paid as a result of capital gains realized by a fund and income and dividends earned by a fund are taxable in the year they are paid. </w:t>
            </w:r>
            <w:proofErr w:type="spellStart"/>
            <w:r>
              <w:rPr>
                <w:rFonts w:ascii="Arial" w:hAnsi="Arial" w:cs="Arial"/>
                <w:color w:val="444749"/>
                <w:sz w:val="17"/>
                <w:szCs w:val="17"/>
                <w:vertAlign w:val="superscript"/>
              </w:rPr>
              <w:t>TM</w:t>
            </w:r>
            <w:r>
              <w:rPr>
                <w:rFonts w:ascii="Arial" w:hAnsi="Arial" w:cs="Arial"/>
                <w:color w:val="444749"/>
                <w:sz w:val="17"/>
                <w:szCs w:val="17"/>
              </w:rPr>
              <w:t>Renaissance</w:t>
            </w:r>
            <w:proofErr w:type="spellEnd"/>
            <w:r>
              <w:rPr>
                <w:rFonts w:ascii="Arial" w:hAnsi="Arial" w:cs="Arial"/>
                <w:color w:val="444749"/>
                <w:sz w:val="17"/>
                <w:szCs w:val="17"/>
              </w:rPr>
              <w:t xml:space="preserve"> Private Investment Program is a trademark of CIBC Asset Management Inc. </w:t>
            </w:r>
            <w:r>
              <w:rPr>
                <w:rFonts w:ascii="Arial" w:hAnsi="Arial" w:cs="Arial"/>
                <w:color w:val="444749"/>
                <w:sz w:val="17"/>
                <w:szCs w:val="17"/>
                <w:vertAlign w:val="superscript"/>
              </w:rPr>
              <w:t>®</w:t>
            </w:r>
            <w:r>
              <w:rPr>
                <w:rFonts w:ascii="Arial" w:hAnsi="Arial" w:cs="Arial"/>
                <w:color w:val="444749"/>
                <w:sz w:val="17"/>
                <w:szCs w:val="17"/>
              </w:rPr>
              <w:t xml:space="preserve">Renaissance Investments is a registered trademark of CIBC Asset Management Inc. The material and/or its contents may not be reproduced without the express written consent of CIBC Asset Management Inc. </w:t>
            </w:r>
          </w:p>
        </w:tc>
      </w:tr>
    </w:tbl>
    <w:p w:rsidR="00A10F4C" w:rsidRDefault="00A10F4C" w:rsidP="00A10F4C">
      <w:pPr>
        <w:rPr>
          <w:rFonts w:ascii="Calibri" w:hAnsi="Calibri" w:cs="Calibri"/>
        </w:rPr>
      </w:pPr>
    </w:p>
    <w:p w:rsidR="00A10F4C" w:rsidRDefault="00A10F4C" w:rsidP="00A10F4C"/>
    <w:p w:rsidR="00E54BD8" w:rsidRDefault="00E54BD8"/>
    <w:sectPr w:rsidR="00E54BD8" w:rsidSect="00A10F4C">
      <w:pgSz w:w="12240" w:h="15840"/>
      <w:pgMar w:top="426" w:right="144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842F4"/>
    <w:multiLevelType w:val="hybridMultilevel"/>
    <w:tmpl w:val="D736CBA8"/>
    <w:lvl w:ilvl="0" w:tplc="618EE9FA">
      <w:numFmt w:val="bullet"/>
      <w:lvlText w:val="-"/>
      <w:lvlJc w:val="left"/>
      <w:pPr>
        <w:ind w:left="720" w:hanging="360"/>
      </w:pPr>
      <w:rPr>
        <w:rFonts w:ascii="Trebuchet MS" w:eastAsia="Calibri" w:hAnsi="Trebuchet MS" w:cs="Times New Roman"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F4C"/>
    <w:rsid w:val="001A5F34"/>
    <w:rsid w:val="00A10F4C"/>
    <w:rsid w:val="00E54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10F4C"/>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10F4C"/>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629502">
      <w:bodyDiv w:val="1"/>
      <w:marLeft w:val="0"/>
      <w:marRight w:val="0"/>
      <w:marTop w:val="0"/>
      <w:marBottom w:val="0"/>
      <w:divBdr>
        <w:top w:val="none" w:sz="0" w:space="0" w:color="auto"/>
        <w:left w:val="none" w:sz="0" w:space="0" w:color="auto"/>
        <w:bottom w:val="none" w:sz="0" w:space="0" w:color="auto"/>
        <w:right w:val="none" w:sz="0" w:space="0" w:color="auto"/>
      </w:divBdr>
    </w:div>
    <w:div w:id="38529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363</Words>
  <Characters>2075</Characters>
  <Application>Microsoft Office Word</Application>
  <DocSecurity>0</DocSecurity>
  <Lines>17</Lines>
  <Paragraphs>4</Paragraphs>
  <ScaleCrop>false</ScaleCrop>
  <Company>CIBC</Company>
  <LinksUpToDate>false</LinksUpToDate>
  <CharactersWithSpaces>2434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Richtman, Shira</dc:creator>
  <cp:lastModifiedBy>Richtman, Shira</cp:lastModifiedBy>
  <cp:revision>2</cp:revision>
  <dcterms:created xsi:type="dcterms:W3CDTF">2018-06-13T15:24:00Z</dcterms:created>
  <dcterms:modified xsi:type="dcterms:W3CDTF">2018-06-13T16:03:00Z</dcterms:modified>
</cp:coreProperties>
</file>